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22F927" w14:textId="533C9191" w:rsidR="003051A3" w:rsidRPr="003051A3" w:rsidRDefault="003051A3" w:rsidP="003051A3">
      <w:pPr>
        <w:rPr>
          <w:rFonts w:ascii="Calibri" w:hAnsi="Calibri" w:cs="Calibri"/>
        </w:rPr>
      </w:pPr>
      <w:r w:rsidRPr="004F7D38">
        <w:rPr>
          <w:rFonts w:ascii="Calibri" w:hAnsi="Calibri" w:cs="Calibri"/>
          <w:highlight w:val="yellow"/>
        </w:rPr>
        <w:t>[Date]</w:t>
      </w:r>
      <w:r w:rsidR="004F7D38">
        <w:rPr>
          <w:rFonts w:ascii="Calibri" w:hAnsi="Calibri" w:cs="Calibri"/>
        </w:rPr>
        <w:br/>
      </w:r>
    </w:p>
    <w:p w14:paraId="6FBD0656" w14:textId="4EB8500F" w:rsidR="003051A3" w:rsidRPr="003051A3" w:rsidRDefault="003051A3" w:rsidP="003051A3">
      <w:pPr>
        <w:rPr>
          <w:rFonts w:ascii="Calibri" w:hAnsi="Calibri" w:cs="Calibri"/>
        </w:rPr>
      </w:pPr>
      <w:r w:rsidRPr="003051A3">
        <w:rPr>
          <w:rFonts w:ascii="Calibri" w:hAnsi="Calibri" w:cs="Calibri"/>
        </w:rPr>
        <w:t xml:space="preserve">The Honorable </w:t>
      </w:r>
      <w:r w:rsidRPr="004F7D38">
        <w:rPr>
          <w:rFonts w:ascii="Calibri" w:hAnsi="Calibri" w:cs="Calibri"/>
          <w:highlight w:val="yellow"/>
        </w:rPr>
        <w:t>[Member of Congress]</w:t>
      </w:r>
      <w:r w:rsidRPr="003051A3">
        <w:rPr>
          <w:rFonts w:ascii="Calibri" w:hAnsi="Calibri" w:cs="Calibri"/>
        </w:rPr>
        <w:br/>
      </w:r>
      <w:r w:rsidRPr="004F7D38">
        <w:rPr>
          <w:rFonts w:ascii="Calibri" w:hAnsi="Calibri" w:cs="Calibri"/>
          <w:highlight w:val="yellow"/>
        </w:rPr>
        <w:t>[Address]</w:t>
      </w:r>
      <w:r w:rsidRPr="003051A3">
        <w:rPr>
          <w:rFonts w:ascii="Calibri" w:hAnsi="Calibri" w:cs="Calibri"/>
        </w:rPr>
        <w:br/>
        <w:t xml:space="preserve">Washington, DC </w:t>
      </w:r>
      <w:r w:rsidRPr="004F7D38">
        <w:rPr>
          <w:rFonts w:ascii="Calibri" w:hAnsi="Calibri" w:cs="Calibri"/>
          <w:highlight w:val="yellow"/>
        </w:rPr>
        <w:t>[ZIP]</w:t>
      </w:r>
      <w:r w:rsidRPr="003051A3">
        <w:rPr>
          <w:rFonts w:ascii="Calibri" w:hAnsi="Calibri" w:cs="Calibri"/>
        </w:rPr>
        <w:br/>
      </w:r>
    </w:p>
    <w:p w14:paraId="41A901C9" w14:textId="0FE4247F" w:rsidR="003051A3" w:rsidRPr="003051A3" w:rsidRDefault="003051A3" w:rsidP="003051A3">
      <w:pPr>
        <w:rPr>
          <w:rFonts w:ascii="Calibri" w:hAnsi="Calibri" w:cs="Calibri"/>
        </w:rPr>
      </w:pPr>
      <w:r w:rsidRPr="003051A3">
        <w:rPr>
          <w:rFonts w:ascii="Calibri" w:hAnsi="Calibri" w:cs="Calibri"/>
        </w:rPr>
        <w:t xml:space="preserve">Dear </w:t>
      </w:r>
      <w:r w:rsidRPr="004F7D38">
        <w:rPr>
          <w:rFonts w:ascii="Calibri" w:hAnsi="Calibri" w:cs="Calibri"/>
          <w:highlight w:val="yellow"/>
        </w:rPr>
        <w:t>[Representative/Senator] [Last Name]:</w:t>
      </w:r>
      <w:r w:rsidRPr="003051A3">
        <w:rPr>
          <w:rFonts w:ascii="Calibri" w:hAnsi="Calibri" w:cs="Calibri"/>
        </w:rPr>
        <w:br/>
      </w:r>
    </w:p>
    <w:p w14:paraId="0BB6660C" w14:textId="3B51FBFB" w:rsidR="003051A3" w:rsidRPr="003051A3" w:rsidRDefault="003051A3" w:rsidP="003051A3">
      <w:pPr>
        <w:rPr>
          <w:rFonts w:ascii="Calibri" w:hAnsi="Calibri" w:cs="Calibri"/>
        </w:rPr>
      </w:pPr>
      <w:r w:rsidRPr="003051A3">
        <w:rPr>
          <w:rFonts w:ascii="Calibri" w:hAnsi="Calibri" w:cs="Calibri"/>
        </w:rPr>
        <w:t xml:space="preserve">On behalf of </w:t>
      </w:r>
      <w:r w:rsidR="004F7D38">
        <w:rPr>
          <w:rFonts w:ascii="Calibri" w:hAnsi="Calibri" w:cs="Calibri"/>
        </w:rPr>
        <w:t xml:space="preserve">the patients and medical staff of </w:t>
      </w:r>
      <w:r w:rsidR="004F7D38" w:rsidRPr="004F7D38">
        <w:rPr>
          <w:rFonts w:ascii="Calibri" w:hAnsi="Calibri" w:cs="Calibri"/>
          <w:highlight w:val="yellow"/>
        </w:rPr>
        <w:t>[Name of Practice],</w:t>
      </w:r>
      <w:r w:rsidR="004F7D38">
        <w:rPr>
          <w:rFonts w:ascii="Calibri" w:hAnsi="Calibri" w:cs="Calibri"/>
        </w:rPr>
        <w:t xml:space="preserve"> </w:t>
      </w:r>
      <w:r w:rsidRPr="003051A3">
        <w:rPr>
          <w:rFonts w:ascii="Calibri" w:hAnsi="Calibri" w:cs="Calibri"/>
        </w:rPr>
        <w:t xml:space="preserve">I </w:t>
      </w:r>
      <w:r w:rsidR="004F7D38">
        <w:rPr>
          <w:rFonts w:ascii="Calibri" w:hAnsi="Calibri" w:cs="Calibri"/>
        </w:rPr>
        <w:t>am writing</w:t>
      </w:r>
      <w:r w:rsidRPr="003051A3">
        <w:rPr>
          <w:rFonts w:ascii="Calibri" w:hAnsi="Calibri" w:cs="Calibri"/>
        </w:rPr>
        <w:t xml:space="preserve"> to express our strong support for the bipartisan </w:t>
      </w:r>
      <w:r w:rsidRPr="003051A3">
        <w:rPr>
          <w:rFonts w:ascii="Calibri" w:hAnsi="Calibri" w:cs="Calibri"/>
          <w:b/>
          <w:bCs/>
        </w:rPr>
        <w:t>No Surprises Enforcement Act</w:t>
      </w:r>
      <w:r w:rsidRPr="003051A3">
        <w:rPr>
          <w:rFonts w:ascii="Calibri" w:hAnsi="Calibri" w:cs="Calibri"/>
        </w:rPr>
        <w:t xml:space="preserve">. This legislation is urgently needed to close dangerous gaps in the enforcement of the </w:t>
      </w:r>
      <w:r w:rsidRPr="003051A3">
        <w:rPr>
          <w:rFonts w:ascii="Calibri" w:hAnsi="Calibri" w:cs="Calibri"/>
          <w:b/>
          <w:bCs/>
        </w:rPr>
        <w:t>No Surprises Act</w:t>
      </w:r>
      <w:r w:rsidRPr="003051A3">
        <w:rPr>
          <w:rFonts w:ascii="Calibri" w:hAnsi="Calibri" w:cs="Calibri"/>
        </w:rPr>
        <w:t xml:space="preserve"> and to hold non-compliant insurance carriers accountable.</w:t>
      </w:r>
      <w:r w:rsidRPr="003051A3">
        <w:rPr>
          <w:rFonts w:ascii="Calibri" w:hAnsi="Calibri" w:cs="Calibri"/>
        </w:rPr>
        <w:br/>
      </w:r>
    </w:p>
    <w:p w14:paraId="6F758EA8" w14:textId="711020F8" w:rsidR="003051A3" w:rsidRPr="003051A3" w:rsidRDefault="003051A3" w:rsidP="003051A3">
      <w:pPr>
        <w:rPr>
          <w:rFonts w:ascii="Calibri" w:hAnsi="Calibri" w:cs="Calibri"/>
        </w:rPr>
      </w:pPr>
      <w:r w:rsidRPr="003051A3">
        <w:rPr>
          <w:rFonts w:ascii="Calibri" w:hAnsi="Calibri" w:cs="Calibri"/>
        </w:rPr>
        <w:t>Since its enactment, the No Surprises Act has represented an important step toward protecting patients from unexpected medical bills and creating a fairer independent dispute resolution (IDR) process. Unfortunately, the promise of this legislation has been undermined by widespread carrier misconduct. Insurers across the nation are routinely refusing to remit timely payments owed to healthcare providers under binding IDR determinations. In many cases, they delay for months—or fail to pay at all—despite the statute’s clear 30-day payment requirement.</w:t>
      </w:r>
      <w:r w:rsidRPr="003051A3">
        <w:rPr>
          <w:rFonts w:ascii="Calibri" w:hAnsi="Calibri" w:cs="Calibri"/>
        </w:rPr>
        <w:br/>
      </w:r>
    </w:p>
    <w:p w14:paraId="0BEEBAFF" w14:textId="12CDCD12" w:rsidR="003051A3" w:rsidRPr="003051A3" w:rsidRDefault="003051A3" w:rsidP="003051A3">
      <w:pPr>
        <w:rPr>
          <w:rFonts w:ascii="Calibri" w:hAnsi="Calibri" w:cs="Calibri"/>
        </w:rPr>
      </w:pPr>
      <w:r w:rsidRPr="003051A3">
        <w:rPr>
          <w:rFonts w:ascii="Calibri" w:hAnsi="Calibri" w:cs="Calibri"/>
        </w:rPr>
        <w:t xml:space="preserve">This problem has been well-documented. At a 2023 House Ways &amp; Means Committee hearing, Jim </w:t>
      </w:r>
      <w:proofErr w:type="spellStart"/>
      <w:r w:rsidRPr="003051A3">
        <w:rPr>
          <w:rFonts w:ascii="Calibri" w:hAnsi="Calibri" w:cs="Calibri"/>
        </w:rPr>
        <w:t>Budzinski</w:t>
      </w:r>
      <w:proofErr w:type="spellEnd"/>
      <w:r w:rsidRPr="003051A3">
        <w:rPr>
          <w:rFonts w:ascii="Calibri" w:hAnsi="Calibri" w:cs="Calibri"/>
        </w:rPr>
        <w:t xml:space="preserve">, then-CFO of </w:t>
      </w:r>
      <w:proofErr w:type="spellStart"/>
      <w:r w:rsidRPr="003051A3">
        <w:rPr>
          <w:rFonts w:ascii="Calibri" w:hAnsi="Calibri" w:cs="Calibri"/>
        </w:rPr>
        <w:t>Wellstar</w:t>
      </w:r>
      <w:proofErr w:type="spellEnd"/>
      <w:r w:rsidRPr="003051A3">
        <w:rPr>
          <w:rFonts w:ascii="Calibri" w:hAnsi="Calibri" w:cs="Calibri"/>
        </w:rPr>
        <w:t xml:space="preserve"> Health System, testified that only one-third of prevailing IDR determinations had been paid, even when the country’s largest insurers were involved. Our experience at The Patriot Group mirrors these findings. In fact, only about </w:t>
      </w:r>
      <w:r w:rsidRPr="003051A3">
        <w:rPr>
          <w:rFonts w:ascii="Calibri" w:hAnsi="Calibri" w:cs="Calibri"/>
          <w:b/>
          <w:bCs/>
        </w:rPr>
        <w:t>5% of IDR determinations we handle are paid on time</w:t>
      </w:r>
      <w:r w:rsidRPr="003051A3">
        <w:rPr>
          <w:rFonts w:ascii="Calibri" w:hAnsi="Calibri" w:cs="Calibri"/>
        </w:rPr>
        <w:t>, leaving many small and mid-sized practices unable to cover basic operational and staffing costs.</w:t>
      </w:r>
      <w:r w:rsidRPr="003051A3">
        <w:rPr>
          <w:rFonts w:ascii="Calibri" w:hAnsi="Calibri" w:cs="Calibri"/>
        </w:rPr>
        <w:br/>
      </w:r>
    </w:p>
    <w:p w14:paraId="608874C5" w14:textId="7C40F27E" w:rsidR="003051A3" w:rsidRPr="003051A3" w:rsidRDefault="003051A3" w:rsidP="003051A3">
      <w:pPr>
        <w:rPr>
          <w:rFonts w:ascii="Calibri" w:hAnsi="Calibri" w:cs="Calibri"/>
        </w:rPr>
      </w:pPr>
      <w:r w:rsidRPr="003051A3">
        <w:rPr>
          <w:rFonts w:ascii="Calibri" w:hAnsi="Calibri" w:cs="Calibri"/>
        </w:rPr>
        <w:t>Without enforcement, carriers have been emboldened to ignore the law. Some have gone so far as to openly declare they will not honor IDR rulings, while others rely on false claims of not receiving determinations—despite electronic confirmation being sent simultaneously to both provider and payer. As a result, the Centers for Medicare &amp; Medicaid Services (CMS) has been inundated with complaints, yet providers continue to wait indefinitely for redress.</w:t>
      </w:r>
      <w:r w:rsidRPr="003051A3">
        <w:rPr>
          <w:rFonts w:ascii="Calibri" w:hAnsi="Calibri" w:cs="Calibri"/>
        </w:rPr>
        <w:br/>
      </w:r>
    </w:p>
    <w:p w14:paraId="6DF482E1" w14:textId="75C6B0F5" w:rsidR="003051A3" w:rsidRPr="003051A3" w:rsidRDefault="003051A3" w:rsidP="003051A3">
      <w:pPr>
        <w:rPr>
          <w:rFonts w:ascii="Calibri" w:hAnsi="Calibri" w:cs="Calibri"/>
        </w:rPr>
      </w:pPr>
      <w:r w:rsidRPr="003051A3">
        <w:rPr>
          <w:rFonts w:ascii="Calibri" w:hAnsi="Calibri" w:cs="Calibri"/>
        </w:rPr>
        <w:t xml:space="preserve">The consequences of this behavior are devastating. Even large health systems such as </w:t>
      </w:r>
      <w:proofErr w:type="spellStart"/>
      <w:r w:rsidRPr="003051A3">
        <w:rPr>
          <w:rFonts w:ascii="Calibri" w:hAnsi="Calibri" w:cs="Calibri"/>
        </w:rPr>
        <w:t>Wellstar</w:t>
      </w:r>
      <w:proofErr w:type="spellEnd"/>
      <w:r w:rsidRPr="003051A3">
        <w:rPr>
          <w:rFonts w:ascii="Calibri" w:hAnsi="Calibri" w:cs="Calibri"/>
        </w:rPr>
        <w:t xml:space="preserve"> can only absorb significant financial losses for so long. For smaller providers,</w:t>
      </w:r>
      <w:r w:rsidR="004F7D38">
        <w:rPr>
          <w:rFonts w:ascii="Calibri" w:hAnsi="Calibri" w:cs="Calibri"/>
        </w:rPr>
        <w:t xml:space="preserve"> including our practice,</w:t>
      </w:r>
      <w:r w:rsidRPr="003051A3">
        <w:rPr>
          <w:rFonts w:ascii="Calibri" w:hAnsi="Calibri" w:cs="Calibri"/>
        </w:rPr>
        <w:t xml:space="preserve"> chronic nonpayment is an existential threat. When practices close or scale back due to these systemic failures, patient access to care declines—a direct contradiction of the intent of the No Surprises Act.</w:t>
      </w:r>
      <w:r w:rsidRPr="003051A3">
        <w:rPr>
          <w:rFonts w:ascii="Calibri" w:hAnsi="Calibri" w:cs="Calibri"/>
        </w:rPr>
        <w:br/>
      </w:r>
    </w:p>
    <w:p w14:paraId="584DDF5B" w14:textId="5EFC6B40" w:rsidR="003051A3" w:rsidRPr="003051A3" w:rsidRDefault="003051A3" w:rsidP="003051A3">
      <w:pPr>
        <w:rPr>
          <w:rFonts w:ascii="Calibri" w:hAnsi="Calibri" w:cs="Calibri"/>
        </w:rPr>
      </w:pPr>
      <w:r w:rsidRPr="003051A3">
        <w:rPr>
          <w:rFonts w:ascii="Calibri" w:hAnsi="Calibri" w:cs="Calibri"/>
        </w:rPr>
        <w:t xml:space="preserve">The </w:t>
      </w:r>
      <w:r w:rsidRPr="003051A3">
        <w:rPr>
          <w:rFonts w:ascii="Calibri" w:hAnsi="Calibri" w:cs="Calibri"/>
          <w:b/>
          <w:bCs/>
        </w:rPr>
        <w:t>No Surprises Enforcement Act</w:t>
      </w:r>
      <w:r w:rsidRPr="003051A3">
        <w:rPr>
          <w:rFonts w:ascii="Calibri" w:hAnsi="Calibri" w:cs="Calibri"/>
        </w:rPr>
        <w:t xml:space="preserve"> offers a meaningful solution. By imposing </w:t>
      </w:r>
      <w:r w:rsidRPr="003051A3">
        <w:rPr>
          <w:rFonts w:ascii="Calibri" w:hAnsi="Calibri" w:cs="Calibri"/>
          <w:b/>
          <w:bCs/>
        </w:rPr>
        <w:t>treble damages on insurers who fail to pay IDR determinations within the statutory timeframe</w:t>
      </w:r>
      <w:r w:rsidRPr="003051A3">
        <w:rPr>
          <w:rFonts w:ascii="Calibri" w:hAnsi="Calibri" w:cs="Calibri"/>
        </w:rPr>
        <w:t>, it establishes the accountability needed to ensure compliance. This legislation</w:t>
      </w:r>
      <w:r w:rsidR="004F7D38">
        <w:rPr>
          <w:rFonts w:ascii="Calibri" w:hAnsi="Calibri" w:cs="Calibri"/>
        </w:rPr>
        <w:t>, which emphasizes the importance of enforcement tools that protects both patients and providers alike,</w:t>
      </w:r>
      <w:r w:rsidRPr="003051A3">
        <w:rPr>
          <w:rFonts w:ascii="Calibri" w:hAnsi="Calibri" w:cs="Calibri"/>
        </w:rPr>
        <w:t xml:space="preserve"> is backed by respected organizations such as the American College of Radiology</w:t>
      </w:r>
      <w:r w:rsidR="004F7D38">
        <w:rPr>
          <w:rFonts w:ascii="Calibri" w:hAnsi="Calibri" w:cs="Calibri"/>
        </w:rPr>
        <w:t xml:space="preserve"> and </w:t>
      </w:r>
      <w:r w:rsidR="004F7D38" w:rsidRPr="004F7D38">
        <w:rPr>
          <w:rFonts w:ascii="Calibri" w:hAnsi="Calibri" w:cs="Calibri"/>
        </w:rPr>
        <w:t xml:space="preserve">The American College of </w:t>
      </w:r>
      <w:r w:rsidR="004F7D38" w:rsidRPr="004F7D38">
        <w:rPr>
          <w:rFonts w:ascii="Calibri" w:hAnsi="Calibri" w:cs="Calibri"/>
        </w:rPr>
        <w:lastRenderedPageBreak/>
        <w:t>Emergency Physicians</w:t>
      </w:r>
      <w:r w:rsidRPr="003051A3">
        <w:rPr>
          <w:rFonts w:ascii="Calibri" w:hAnsi="Calibri" w:cs="Calibri"/>
        </w:rPr>
        <w:t>.</w:t>
      </w:r>
      <w:r w:rsidRPr="003051A3">
        <w:rPr>
          <w:rFonts w:ascii="Calibri" w:hAnsi="Calibri" w:cs="Calibri"/>
        </w:rPr>
        <w:br/>
      </w:r>
    </w:p>
    <w:p w14:paraId="3E7E9C5F" w14:textId="14AB5749" w:rsidR="003051A3" w:rsidRPr="003051A3" w:rsidRDefault="003051A3" w:rsidP="003051A3">
      <w:pPr>
        <w:rPr>
          <w:rFonts w:ascii="Calibri" w:hAnsi="Calibri" w:cs="Calibri"/>
        </w:rPr>
      </w:pPr>
      <w:r w:rsidRPr="003051A3">
        <w:rPr>
          <w:rFonts w:ascii="Calibri" w:hAnsi="Calibri" w:cs="Calibri"/>
        </w:rPr>
        <w:t>For these reasons, we respectfully urge you to support passage of the No Surprises Enforcement Act. Strengthening enforcement is essential to safeguard patients, uphold the integrity of the IDR process, and preserve access to quality healthcare across the country.</w:t>
      </w:r>
      <w:r w:rsidR="004F7D38">
        <w:rPr>
          <w:rFonts w:ascii="Calibri" w:hAnsi="Calibri" w:cs="Calibri"/>
        </w:rPr>
        <w:br/>
      </w:r>
    </w:p>
    <w:p w14:paraId="1A41BB16" w14:textId="4B7A2B66" w:rsidR="003051A3" w:rsidRPr="003051A3" w:rsidRDefault="003051A3" w:rsidP="003051A3">
      <w:pPr>
        <w:rPr>
          <w:rFonts w:ascii="Calibri" w:hAnsi="Calibri" w:cs="Calibri"/>
        </w:rPr>
      </w:pPr>
      <w:r w:rsidRPr="003051A3">
        <w:rPr>
          <w:rFonts w:ascii="Calibri" w:hAnsi="Calibri" w:cs="Calibri"/>
        </w:rPr>
        <w:t>Thank you for your leadership and attention to this critical issue. We would welcome the opportunity to provide further detail on the challenges providers are facing and to work with your office in support of this legislation.</w:t>
      </w:r>
      <w:r w:rsidRPr="003051A3">
        <w:rPr>
          <w:rFonts w:ascii="Calibri" w:hAnsi="Calibri" w:cs="Calibri"/>
        </w:rPr>
        <w:br/>
      </w:r>
    </w:p>
    <w:p w14:paraId="1F8AFEB8" w14:textId="527911F6" w:rsidR="00F50F70" w:rsidRPr="004F7D38" w:rsidRDefault="003051A3">
      <w:pPr>
        <w:rPr>
          <w:rFonts w:ascii="Calibri" w:hAnsi="Calibri" w:cs="Calibri"/>
          <w:highlight w:val="yellow"/>
        </w:rPr>
      </w:pPr>
      <w:r w:rsidRPr="003051A3">
        <w:rPr>
          <w:rFonts w:ascii="Calibri" w:hAnsi="Calibri" w:cs="Calibri"/>
        </w:rPr>
        <w:t>Sincerely,</w:t>
      </w:r>
      <w:r>
        <w:rPr>
          <w:rFonts w:ascii="Calibri" w:hAnsi="Calibri" w:cs="Calibri"/>
        </w:rPr>
        <w:br/>
      </w:r>
      <w:r>
        <w:rPr>
          <w:rFonts w:ascii="Calibri" w:hAnsi="Calibri" w:cs="Calibri"/>
        </w:rPr>
        <w:br/>
      </w:r>
      <w:r>
        <w:rPr>
          <w:rFonts w:ascii="Calibri" w:hAnsi="Calibri" w:cs="Calibri"/>
        </w:rPr>
        <w:br/>
      </w:r>
      <w:r w:rsidR="004F7D38" w:rsidRPr="004F7D38">
        <w:rPr>
          <w:rFonts w:ascii="Calibri" w:hAnsi="Calibri" w:cs="Calibri"/>
          <w:highlight w:val="yellow"/>
        </w:rPr>
        <w:t>[Name]</w:t>
      </w:r>
    </w:p>
    <w:p w14:paraId="325EEF18" w14:textId="22913343" w:rsidR="004F7D38" w:rsidRPr="003051A3" w:rsidRDefault="004F7D38">
      <w:pPr>
        <w:rPr>
          <w:rFonts w:ascii="Calibri" w:hAnsi="Calibri" w:cs="Calibri"/>
        </w:rPr>
      </w:pPr>
      <w:r w:rsidRPr="004F7D38">
        <w:rPr>
          <w:rFonts w:ascii="Calibri" w:hAnsi="Calibri" w:cs="Calibri"/>
          <w:highlight w:val="yellow"/>
        </w:rPr>
        <w:t>[Practice Name]</w:t>
      </w:r>
    </w:p>
    <w:sectPr w:rsidR="004F7D38" w:rsidRPr="003051A3" w:rsidSect="00A46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1A3"/>
    <w:rsid w:val="00074F00"/>
    <w:rsid w:val="000D75C7"/>
    <w:rsid w:val="002A0EA9"/>
    <w:rsid w:val="003051A3"/>
    <w:rsid w:val="004F7D38"/>
    <w:rsid w:val="007069B4"/>
    <w:rsid w:val="008A12B6"/>
    <w:rsid w:val="009662F8"/>
    <w:rsid w:val="00A46DC1"/>
    <w:rsid w:val="00B86EE2"/>
    <w:rsid w:val="00BA09E6"/>
    <w:rsid w:val="00D123D0"/>
    <w:rsid w:val="00E0243E"/>
    <w:rsid w:val="00F50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635BB"/>
  <w15:chartTrackingRefBased/>
  <w15:docId w15:val="{CD30C070-9804-C64C-8E66-EC0D9155E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1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51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51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51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51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51A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51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51A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51A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1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51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51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51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51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51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51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51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51A3"/>
    <w:rPr>
      <w:rFonts w:eastAsiaTheme="majorEastAsia" w:cstheme="majorBidi"/>
      <w:color w:val="272727" w:themeColor="text1" w:themeTint="D8"/>
    </w:rPr>
  </w:style>
  <w:style w:type="paragraph" w:styleId="Title">
    <w:name w:val="Title"/>
    <w:basedOn w:val="Normal"/>
    <w:next w:val="Normal"/>
    <w:link w:val="TitleChar"/>
    <w:uiPriority w:val="10"/>
    <w:qFormat/>
    <w:rsid w:val="003051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1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1A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51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1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051A3"/>
    <w:rPr>
      <w:i/>
      <w:iCs/>
      <w:color w:val="404040" w:themeColor="text1" w:themeTint="BF"/>
    </w:rPr>
  </w:style>
  <w:style w:type="paragraph" w:styleId="ListParagraph">
    <w:name w:val="List Paragraph"/>
    <w:basedOn w:val="Normal"/>
    <w:uiPriority w:val="34"/>
    <w:qFormat/>
    <w:rsid w:val="003051A3"/>
    <w:pPr>
      <w:ind w:left="720"/>
      <w:contextualSpacing/>
    </w:pPr>
  </w:style>
  <w:style w:type="character" w:styleId="IntenseEmphasis">
    <w:name w:val="Intense Emphasis"/>
    <w:basedOn w:val="DefaultParagraphFont"/>
    <w:uiPriority w:val="21"/>
    <w:qFormat/>
    <w:rsid w:val="003051A3"/>
    <w:rPr>
      <w:i/>
      <w:iCs/>
      <w:color w:val="0F4761" w:themeColor="accent1" w:themeShade="BF"/>
    </w:rPr>
  </w:style>
  <w:style w:type="paragraph" w:styleId="IntenseQuote">
    <w:name w:val="Intense Quote"/>
    <w:basedOn w:val="Normal"/>
    <w:next w:val="Normal"/>
    <w:link w:val="IntenseQuoteChar"/>
    <w:uiPriority w:val="30"/>
    <w:qFormat/>
    <w:rsid w:val="003051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51A3"/>
    <w:rPr>
      <w:i/>
      <w:iCs/>
      <w:color w:val="0F4761" w:themeColor="accent1" w:themeShade="BF"/>
    </w:rPr>
  </w:style>
  <w:style w:type="character" w:styleId="IntenseReference">
    <w:name w:val="Intense Reference"/>
    <w:basedOn w:val="DefaultParagraphFont"/>
    <w:uiPriority w:val="32"/>
    <w:qFormat/>
    <w:rsid w:val="003051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07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503</Words>
  <Characters>2870</Characters>
  <Application>Microsoft Office Word</Application>
  <DocSecurity>0</DocSecurity>
  <Lines>23</Lines>
  <Paragraphs>6</Paragraphs>
  <ScaleCrop>false</ScaleCrop>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Zaher</dc:creator>
  <cp:keywords/>
  <dc:description/>
  <cp:lastModifiedBy>John Zaher</cp:lastModifiedBy>
  <cp:revision>3</cp:revision>
  <dcterms:created xsi:type="dcterms:W3CDTF">2025-09-22T11:19:00Z</dcterms:created>
  <dcterms:modified xsi:type="dcterms:W3CDTF">2025-09-22T11:25:00Z</dcterms:modified>
</cp:coreProperties>
</file>